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DB" w:rsidRDefault="00EE156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45B99" wp14:editId="460AD4D9">
                <wp:simplePos x="0" y="0"/>
                <wp:positionH relativeFrom="column">
                  <wp:posOffset>2016125</wp:posOffset>
                </wp:positionH>
                <wp:positionV relativeFrom="paragraph">
                  <wp:posOffset>-277305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567" w:rsidRPr="00EE1567" w:rsidRDefault="00EE1567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</w:rPr>
                            </w:pPr>
                            <w:r w:rsidRPr="00EE156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</w:rPr>
                              <w:t>Media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75pt;margin-top:-21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dOqdG4gAAAAsBAAAPAAAAZHJzL2Rvd25yZXYueG1sTI/L&#10;TsMwEEX3SPyDNUhsUOskDQ2EOFV5bdi1BInlNHaTQDyOYrcNfD3DCpaje3TvmWI12V4czeg7Rwri&#10;eQTCUO10R42C6vV5dgPCBySNvSOj4Mt4WJXnZwXm2p1oY47b0AguIZ+jgjaEIZfS162x6OduMMTZ&#10;3o0WA59jI/WIJy63vUyiaCktdsQLLQ7moTX15/ZgFXzfV4/rp6sQ75Pwnrxt7EtVf6BSlxfT+g5E&#10;MFP4g+FXn9WhZKedO5D2olewiLNrRhXM0kUGgonlbZyC2DGaZSnIspD/fyh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N06p0biAAAACwEAAA8AAAAAAAAAAAAAAAAAfQQAAGRycy9k&#10;b3ducmV2LnhtbFBLBQYAAAAABAAEAPMAAACMBQAAAAA=&#10;" stroked="f">
                <v:textbox style="mso-fit-shape-to-text:t">
                  <w:txbxContent>
                    <w:p w:rsidR="00EE1567" w:rsidRPr="00EE1567" w:rsidRDefault="00EE1567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</w:rPr>
                      </w:pPr>
                      <w:r w:rsidRPr="00EE1567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</w:rPr>
                        <w:t>Media Pack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DC4E07" wp14:editId="2AAA4EE4">
            <wp:simplePos x="0" y="0"/>
            <wp:positionH relativeFrom="column">
              <wp:posOffset>4464050</wp:posOffset>
            </wp:positionH>
            <wp:positionV relativeFrom="paragraph">
              <wp:posOffset>-297180</wp:posOffset>
            </wp:positionV>
            <wp:extent cx="1736725" cy="471805"/>
            <wp:effectExtent l="0" t="0" r="0" b="4445"/>
            <wp:wrapNone/>
            <wp:docPr id="1" name="Picture 1" descr="https://gallery.mailchimp.com/944a142ace/images/a163add2-6bfb-4b3c-bac4-3b5b4e7af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944a142ace/images/a163add2-6bfb-4b3c-bac4-3b5b4e7af2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17"/>
                    <a:stretch/>
                  </pic:blipFill>
                  <pic:spPr bwMode="auto">
                    <a:xfrm>
                      <a:off x="0" y="0"/>
                      <a:ext cx="17367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A14D54" wp14:editId="61207AD0">
            <wp:simplePos x="0" y="0"/>
            <wp:positionH relativeFrom="column">
              <wp:posOffset>-308610</wp:posOffset>
            </wp:positionH>
            <wp:positionV relativeFrom="paragraph">
              <wp:posOffset>-462915</wp:posOffset>
            </wp:positionV>
            <wp:extent cx="1875790" cy="783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fighters Charit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C1D" w:rsidRDefault="005B7C1D"/>
    <w:p w:rsidR="00EE1567" w:rsidRDefault="00591601" w:rsidP="004A1A9C">
      <w:pPr>
        <w:pStyle w:val="NoSpacing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22F171A0" wp14:editId="23A0DE45">
            <wp:simplePos x="0" y="0"/>
            <wp:positionH relativeFrom="column">
              <wp:posOffset>3667760</wp:posOffset>
            </wp:positionH>
            <wp:positionV relativeFrom="paragraph">
              <wp:posOffset>191770</wp:posOffset>
            </wp:positionV>
            <wp:extent cx="2095500" cy="2963545"/>
            <wp:effectExtent l="266700" t="228600" r="457200" b="4273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8594">
                      <a:off x="0" y="0"/>
                      <a:ext cx="2095500" cy="296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567" w:rsidRPr="004A1A9C">
        <w:rPr>
          <w:b/>
          <w:sz w:val="32"/>
        </w:rPr>
        <w:t>About Shout!</w:t>
      </w:r>
    </w:p>
    <w:p w:rsidR="00591601" w:rsidRDefault="00591601" w:rsidP="004A1A9C">
      <w:pPr>
        <w:pStyle w:val="NoSpacing"/>
        <w:rPr>
          <w:b/>
          <w:sz w:val="24"/>
        </w:rPr>
      </w:pPr>
    </w:p>
    <w:p w:rsidR="004A1A9C" w:rsidRPr="0007785F" w:rsidRDefault="004A1A9C" w:rsidP="004A1A9C">
      <w:pPr>
        <w:pStyle w:val="NoSpacing"/>
        <w:rPr>
          <w:sz w:val="24"/>
        </w:rPr>
      </w:pPr>
      <w:r w:rsidRPr="0007785F">
        <w:rPr>
          <w:b/>
          <w:sz w:val="24"/>
        </w:rPr>
        <w:t>Pagination:</w:t>
      </w:r>
      <w:r w:rsidRPr="0007785F">
        <w:rPr>
          <w:sz w:val="24"/>
        </w:rPr>
        <w:t xml:space="preserve"> 44pp</w:t>
      </w:r>
      <w:r w:rsidRPr="0007785F">
        <w:rPr>
          <w:sz w:val="24"/>
        </w:rPr>
        <w:br/>
      </w:r>
      <w:r w:rsidRPr="0007785F">
        <w:rPr>
          <w:b/>
          <w:sz w:val="24"/>
        </w:rPr>
        <w:t>Paper weight:</w:t>
      </w:r>
      <w:r w:rsidRPr="0007785F">
        <w:rPr>
          <w:sz w:val="24"/>
        </w:rPr>
        <w:t xml:space="preserve"> Covers 150gsm gloss; text 80gsm gloss</w:t>
      </w:r>
      <w:r w:rsidRPr="0007785F">
        <w:rPr>
          <w:sz w:val="24"/>
        </w:rPr>
        <w:br/>
      </w:r>
      <w:r w:rsidRPr="0007785F">
        <w:rPr>
          <w:b/>
          <w:sz w:val="24"/>
        </w:rPr>
        <w:t>Publication:</w:t>
      </w:r>
      <w:r w:rsidRPr="0007785F">
        <w:rPr>
          <w:sz w:val="24"/>
        </w:rPr>
        <w:t xml:space="preserve"> Twice yearly</w:t>
      </w:r>
    </w:p>
    <w:p w:rsidR="004A1A9C" w:rsidRPr="0007785F" w:rsidRDefault="004A1A9C" w:rsidP="004A1A9C">
      <w:pPr>
        <w:pStyle w:val="NoSpacing"/>
        <w:rPr>
          <w:sz w:val="24"/>
        </w:rPr>
      </w:pPr>
      <w:r w:rsidRPr="0007785F">
        <w:rPr>
          <w:b/>
          <w:sz w:val="24"/>
        </w:rPr>
        <w:t>Detail:</w:t>
      </w:r>
      <w:r w:rsidRPr="0007785F">
        <w:rPr>
          <w:sz w:val="24"/>
        </w:rPr>
        <w:t xml:space="preserve"> </w:t>
      </w:r>
      <w:r w:rsidRPr="0007785F">
        <w:rPr>
          <w:i/>
          <w:sz w:val="24"/>
        </w:rPr>
        <w:t>Shout!</w:t>
      </w:r>
      <w:r w:rsidRPr="0007785F">
        <w:rPr>
          <w:sz w:val="24"/>
        </w:rPr>
        <w:t xml:space="preserve"> </w:t>
      </w:r>
      <w:proofErr w:type="gramStart"/>
      <w:r w:rsidRPr="0007785F">
        <w:rPr>
          <w:sz w:val="24"/>
        </w:rPr>
        <w:t>is</w:t>
      </w:r>
      <w:proofErr w:type="gramEnd"/>
      <w:r w:rsidRPr="0007785F">
        <w:rPr>
          <w:sz w:val="24"/>
        </w:rPr>
        <w:t xml:space="preserve"> the official magazine of The Fire Fighters Charity. An energetic, informative and universally well received title, it features a wealth of information on the Charity, its beneficiaries, supporters and services. However, far more than just a charity magazine</w:t>
      </w:r>
      <w:r w:rsidR="003B7701" w:rsidRPr="0007785F">
        <w:rPr>
          <w:sz w:val="24"/>
        </w:rPr>
        <w:t xml:space="preserve"> seeking to boost fundraising income</w:t>
      </w:r>
      <w:r w:rsidRPr="0007785F">
        <w:rPr>
          <w:sz w:val="24"/>
        </w:rPr>
        <w:t xml:space="preserve">, Shout! </w:t>
      </w:r>
      <w:proofErr w:type="gramStart"/>
      <w:r w:rsidRPr="0007785F">
        <w:rPr>
          <w:sz w:val="24"/>
        </w:rPr>
        <w:t>offer</w:t>
      </w:r>
      <w:r w:rsidR="00631DA0" w:rsidRPr="0007785F">
        <w:rPr>
          <w:sz w:val="24"/>
        </w:rPr>
        <w:t>s</w:t>
      </w:r>
      <w:proofErr w:type="gramEnd"/>
      <w:r w:rsidRPr="0007785F">
        <w:rPr>
          <w:sz w:val="24"/>
        </w:rPr>
        <w:t xml:space="preserve"> its readers practical advice on health and </w:t>
      </w:r>
      <w:r w:rsidR="003B7701" w:rsidRPr="0007785F">
        <w:rPr>
          <w:sz w:val="24"/>
        </w:rPr>
        <w:t>wellbeing</w:t>
      </w:r>
      <w:r w:rsidR="00631DA0" w:rsidRPr="0007785F">
        <w:rPr>
          <w:sz w:val="24"/>
        </w:rPr>
        <w:t xml:space="preserve"> throughout</w:t>
      </w:r>
      <w:r w:rsidR="003B7701" w:rsidRPr="0007785F">
        <w:rPr>
          <w:sz w:val="24"/>
        </w:rPr>
        <w:t xml:space="preserve">, echoing the Charity’s </w:t>
      </w:r>
      <w:r w:rsidR="00631DA0" w:rsidRPr="0007785F">
        <w:rPr>
          <w:sz w:val="24"/>
        </w:rPr>
        <w:t>mission</w:t>
      </w:r>
      <w:r w:rsidR="003B7701" w:rsidRPr="0007785F">
        <w:rPr>
          <w:sz w:val="24"/>
        </w:rPr>
        <w:t xml:space="preserve"> to enhance the lives of firefighters across the country.</w:t>
      </w:r>
    </w:p>
    <w:p w:rsidR="004A1A9C" w:rsidRPr="0007785F" w:rsidRDefault="004A1A9C" w:rsidP="004A1A9C">
      <w:pPr>
        <w:pStyle w:val="NoSpacing"/>
        <w:rPr>
          <w:sz w:val="24"/>
        </w:rPr>
      </w:pPr>
      <w:r w:rsidRPr="0007785F">
        <w:rPr>
          <w:b/>
          <w:sz w:val="24"/>
        </w:rPr>
        <w:t>Redesign:</w:t>
      </w:r>
      <w:r w:rsidRPr="0007785F">
        <w:rPr>
          <w:sz w:val="24"/>
        </w:rPr>
        <w:t xml:space="preserve"> </w:t>
      </w:r>
      <w:r w:rsidRPr="0007785F">
        <w:rPr>
          <w:i/>
          <w:sz w:val="24"/>
        </w:rPr>
        <w:t>Shout!</w:t>
      </w:r>
      <w:r w:rsidRPr="0007785F">
        <w:rPr>
          <w:sz w:val="24"/>
        </w:rPr>
        <w:t xml:space="preserve"> </w:t>
      </w:r>
      <w:proofErr w:type="gramStart"/>
      <w:r w:rsidRPr="0007785F">
        <w:rPr>
          <w:sz w:val="24"/>
        </w:rPr>
        <w:t>was</w:t>
      </w:r>
      <w:proofErr w:type="gramEnd"/>
      <w:r w:rsidRPr="0007785F">
        <w:rPr>
          <w:sz w:val="24"/>
        </w:rPr>
        <w:t xml:space="preserve"> redesigned in April 2015, giving it a strong consumer-title look and feel</w:t>
      </w:r>
    </w:p>
    <w:p w:rsidR="00591601" w:rsidRDefault="00591601" w:rsidP="004A1A9C">
      <w:pPr>
        <w:pStyle w:val="NoSpacing"/>
        <w:rPr>
          <w:sz w:val="24"/>
        </w:rPr>
      </w:pPr>
    </w:p>
    <w:p w:rsidR="008C4837" w:rsidRDefault="008C4837" w:rsidP="004A1A9C">
      <w:pPr>
        <w:pStyle w:val="NoSpacing"/>
      </w:pPr>
    </w:p>
    <w:p w:rsidR="00EE1567" w:rsidRPr="003B7701" w:rsidRDefault="00EE1567" w:rsidP="004A1A9C">
      <w:pPr>
        <w:pStyle w:val="NoSpacing"/>
        <w:rPr>
          <w:b/>
          <w:sz w:val="32"/>
        </w:rPr>
      </w:pPr>
      <w:r w:rsidRPr="003B7701">
        <w:rPr>
          <w:b/>
          <w:sz w:val="32"/>
        </w:rPr>
        <w:t>About Our Readers</w:t>
      </w:r>
    </w:p>
    <w:p w:rsidR="00591601" w:rsidRDefault="00591601" w:rsidP="004A1A9C">
      <w:pPr>
        <w:pStyle w:val="NoSpacing"/>
        <w:rPr>
          <w:sz w:val="24"/>
        </w:rPr>
      </w:pPr>
    </w:p>
    <w:p w:rsidR="0070351D" w:rsidRPr="0007785F" w:rsidRDefault="0070351D" w:rsidP="004A1A9C">
      <w:pPr>
        <w:pStyle w:val="NoSpacing"/>
        <w:rPr>
          <w:sz w:val="24"/>
        </w:rPr>
      </w:pPr>
      <w:r w:rsidRPr="00591601">
        <w:rPr>
          <w:b/>
          <w:sz w:val="24"/>
        </w:rPr>
        <w:t>Circulation:</w:t>
      </w:r>
      <w:r w:rsidRPr="0007785F">
        <w:rPr>
          <w:sz w:val="24"/>
        </w:rPr>
        <w:t xml:space="preserve"> </w:t>
      </w:r>
      <w:r w:rsidR="003B6705" w:rsidRPr="0007785F">
        <w:rPr>
          <w:sz w:val="24"/>
        </w:rPr>
        <w:t>29,201</w:t>
      </w:r>
    </w:p>
    <w:p w:rsidR="00EE1567" w:rsidRPr="0007785F" w:rsidRDefault="00EE1567" w:rsidP="004A1A9C">
      <w:pPr>
        <w:pStyle w:val="NoSpacing"/>
        <w:rPr>
          <w:sz w:val="24"/>
        </w:rPr>
      </w:pPr>
      <w:r w:rsidRPr="00591601">
        <w:rPr>
          <w:b/>
          <w:sz w:val="24"/>
        </w:rPr>
        <w:t>Gender</w:t>
      </w:r>
      <w:r w:rsidR="003B6705" w:rsidRPr="00591601">
        <w:rPr>
          <w:b/>
          <w:sz w:val="24"/>
        </w:rPr>
        <w:t>:</w:t>
      </w:r>
      <w:r w:rsidR="003B6705" w:rsidRPr="0007785F">
        <w:rPr>
          <w:sz w:val="24"/>
        </w:rPr>
        <w:t xml:space="preserve"> 78.5% Male</w:t>
      </w:r>
    </w:p>
    <w:p w:rsidR="00EE1567" w:rsidRPr="0007785F" w:rsidRDefault="00EE1567" w:rsidP="004A1A9C">
      <w:pPr>
        <w:pStyle w:val="NoSpacing"/>
        <w:rPr>
          <w:sz w:val="24"/>
        </w:rPr>
      </w:pPr>
      <w:r w:rsidRPr="00591601">
        <w:rPr>
          <w:b/>
          <w:sz w:val="24"/>
        </w:rPr>
        <w:t>Age</w:t>
      </w:r>
      <w:r w:rsidR="003B6705" w:rsidRPr="00591601">
        <w:rPr>
          <w:b/>
          <w:sz w:val="24"/>
        </w:rPr>
        <w:t xml:space="preserve"> range:</w:t>
      </w:r>
      <w:r w:rsidR="003B6705" w:rsidRPr="0007785F">
        <w:rPr>
          <w:sz w:val="24"/>
        </w:rPr>
        <w:t xml:space="preserve"> 25-50</w:t>
      </w:r>
    </w:p>
    <w:p w:rsidR="00EE1567" w:rsidRPr="0007785F" w:rsidRDefault="003B6705" w:rsidP="004A1A9C">
      <w:pPr>
        <w:pStyle w:val="NoSpacing"/>
        <w:rPr>
          <w:sz w:val="24"/>
        </w:rPr>
      </w:pPr>
      <w:r w:rsidRPr="00591601">
        <w:rPr>
          <w:b/>
          <w:sz w:val="24"/>
        </w:rPr>
        <w:t>Estimated r</w:t>
      </w:r>
      <w:r w:rsidR="00EE1567" w:rsidRPr="00591601">
        <w:rPr>
          <w:b/>
          <w:sz w:val="24"/>
        </w:rPr>
        <w:t>eadership</w:t>
      </w:r>
      <w:r w:rsidRPr="00591601">
        <w:rPr>
          <w:b/>
          <w:sz w:val="24"/>
        </w:rPr>
        <w:t>:</w:t>
      </w:r>
      <w:r w:rsidRPr="0007785F">
        <w:rPr>
          <w:sz w:val="24"/>
        </w:rPr>
        <w:t xml:space="preserve"> 122,603 per issue (average 3 people per household, 15 people per fire station and 5 people per HQ)</w:t>
      </w:r>
    </w:p>
    <w:p w:rsidR="00EE1567" w:rsidRPr="00591601" w:rsidRDefault="0070351D" w:rsidP="004A1A9C">
      <w:pPr>
        <w:pStyle w:val="NoSpacing"/>
        <w:rPr>
          <w:sz w:val="24"/>
        </w:rPr>
      </w:pPr>
      <w:r w:rsidRPr="00591601">
        <w:rPr>
          <w:b/>
          <w:sz w:val="24"/>
        </w:rPr>
        <w:t>Occupations:</w:t>
      </w:r>
      <w:r w:rsidRPr="0007785F">
        <w:rPr>
          <w:sz w:val="24"/>
        </w:rPr>
        <w:t xml:space="preserve"> Serving </w:t>
      </w:r>
      <w:proofErr w:type="spellStart"/>
      <w:r w:rsidRPr="0007785F">
        <w:rPr>
          <w:sz w:val="24"/>
        </w:rPr>
        <w:t>wholetime</w:t>
      </w:r>
      <w:proofErr w:type="spellEnd"/>
      <w:r w:rsidRPr="0007785F">
        <w:rPr>
          <w:sz w:val="24"/>
        </w:rPr>
        <w:t xml:space="preserve"> firefighters, serving retained firefighters, retired firefighters</w:t>
      </w:r>
    </w:p>
    <w:p w:rsidR="00591601" w:rsidRPr="0070351D" w:rsidRDefault="00591601" w:rsidP="004A1A9C">
      <w:pPr>
        <w:pStyle w:val="NoSpacing"/>
        <w:rPr>
          <w:sz w:val="32"/>
        </w:rPr>
      </w:pPr>
    </w:p>
    <w:p w:rsidR="00EE1567" w:rsidRPr="0070351D" w:rsidRDefault="00EE1567" w:rsidP="004A1A9C">
      <w:pPr>
        <w:pStyle w:val="NoSpacing"/>
        <w:rPr>
          <w:b/>
          <w:sz w:val="32"/>
        </w:rPr>
      </w:pPr>
      <w:r w:rsidRPr="0070351D">
        <w:rPr>
          <w:b/>
          <w:sz w:val="32"/>
        </w:rPr>
        <w:t>About The Charity</w:t>
      </w:r>
    </w:p>
    <w:p w:rsidR="00591601" w:rsidRDefault="00591601" w:rsidP="004A1A9C">
      <w:pPr>
        <w:pStyle w:val="NoSpacing"/>
        <w:rPr>
          <w:sz w:val="24"/>
        </w:rPr>
      </w:pPr>
    </w:p>
    <w:p w:rsidR="0070351D" w:rsidRPr="0007785F" w:rsidRDefault="00631DA0" w:rsidP="004A1A9C">
      <w:pPr>
        <w:pStyle w:val="NoSpacing"/>
        <w:rPr>
          <w:sz w:val="24"/>
        </w:rPr>
      </w:pPr>
      <w:r w:rsidRPr="0007785F">
        <w:rPr>
          <w:sz w:val="24"/>
        </w:rPr>
        <w:t xml:space="preserve">The Fire Fighters Charity is the UK’s leading provider of rehabilitation and recuperation services to the fire community. In </w:t>
      </w:r>
      <w:r w:rsidR="0019110C">
        <w:rPr>
          <w:sz w:val="24"/>
        </w:rPr>
        <w:t>2015/16</w:t>
      </w:r>
      <w:r w:rsidRPr="0007785F">
        <w:rPr>
          <w:sz w:val="24"/>
        </w:rPr>
        <w:t xml:space="preserve"> it </w:t>
      </w:r>
      <w:proofErr w:type="gramStart"/>
      <w:r w:rsidRPr="0007785F">
        <w:rPr>
          <w:sz w:val="24"/>
        </w:rPr>
        <w:t xml:space="preserve">helped  </w:t>
      </w:r>
      <w:r w:rsidR="0019110C">
        <w:rPr>
          <w:sz w:val="24"/>
        </w:rPr>
        <w:t>5,107</w:t>
      </w:r>
      <w:proofErr w:type="gramEnd"/>
      <w:r w:rsidRPr="0007785F">
        <w:rPr>
          <w:sz w:val="24"/>
        </w:rPr>
        <w:t xml:space="preserve"> people across its three centres in the Lake District, Devon and West </w:t>
      </w:r>
      <w:proofErr w:type="spellStart"/>
      <w:r w:rsidRPr="0007785F">
        <w:rPr>
          <w:sz w:val="24"/>
        </w:rPr>
        <w:t>Susssex</w:t>
      </w:r>
      <w:proofErr w:type="spellEnd"/>
      <w:r w:rsidRPr="0007785F">
        <w:rPr>
          <w:sz w:val="24"/>
        </w:rPr>
        <w:t xml:space="preserve">, </w:t>
      </w:r>
      <w:r w:rsidR="00CA0C58" w:rsidRPr="0007785F">
        <w:rPr>
          <w:sz w:val="24"/>
        </w:rPr>
        <w:t>helping them to recover from injury and illness through</w:t>
      </w:r>
      <w:r w:rsidRPr="0007785F">
        <w:rPr>
          <w:sz w:val="24"/>
        </w:rPr>
        <w:t xml:space="preserve"> life enhancing rehabilitation</w:t>
      </w:r>
      <w:r w:rsidR="0019110C">
        <w:rPr>
          <w:sz w:val="24"/>
        </w:rPr>
        <w:t>, as well as other health and wellbeing services – including psychological therapy –</w:t>
      </w:r>
      <w:r w:rsidR="00CA0C58" w:rsidRPr="0007785F">
        <w:rPr>
          <w:sz w:val="24"/>
        </w:rPr>
        <w:t xml:space="preserve"> facilitated by dedicated teams of clinical professionals</w:t>
      </w:r>
      <w:r w:rsidRPr="0007785F">
        <w:rPr>
          <w:sz w:val="24"/>
        </w:rPr>
        <w:t>.</w:t>
      </w:r>
      <w:r w:rsidR="00CA0C58" w:rsidRPr="0007785F">
        <w:rPr>
          <w:sz w:val="24"/>
        </w:rPr>
        <w:t xml:space="preserve"> </w:t>
      </w:r>
      <w:r w:rsidRPr="0007785F">
        <w:rPr>
          <w:sz w:val="24"/>
        </w:rPr>
        <w:t xml:space="preserve"> </w:t>
      </w:r>
      <w:r w:rsidR="00CA0C58" w:rsidRPr="0007785F">
        <w:rPr>
          <w:sz w:val="24"/>
        </w:rPr>
        <w:t xml:space="preserve">The Charity receives no </w:t>
      </w:r>
      <w:r w:rsidR="0019110C">
        <w:rPr>
          <w:sz w:val="24"/>
        </w:rPr>
        <w:t xml:space="preserve">regular </w:t>
      </w:r>
      <w:r w:rsidR="00CA0C58" w:rsidRPr="0007785F">
        <w:rPr>
          <w:sz w:val="24"/>
        </w:rPr>
        <w:t xml:space="preserve">Government funding and is financed through the generosity of its supporters. Full details of the Charity’s beneficiaries, services and finances can be found via its </w:t>
      </w:r>
      <w:r w:rsidR="0019110C">
        <w:rPr>
          <w:sz w:val="24"/>
        </w:rPr>
        <w:t>2015/16</w:t>
      </w:r>
      <w:r w:rsidR="00CA0C58" w:rsidRPr="0007785F">
        <w:rPr>
          <w:sz w:val="24"/>
        </w:rPr>
        <w:t xml:space="preserve"> </w:t>
      </w:r>
      <w:r w:rsidR="0019110C">
        <w:rPr>
          <w:sz w:val="24"/>
        </w:rPr>
        <w:t xml:space="preserve">Impact Report, available at: </w:t>
      </w:r>
      <w:hyperlink r:id="rId8" w:history="1">
        <w:r w:rsidR="0019110C" w:rsidRPr="000B4BE9">
          <w:rPr>
            <w:rStyle w:val="Hyperlink"/>
            <w:sz w:val="24"/>
          </w:rPr>
          <w:t>https://issuu.com/thefirefighterscharity/docs/1854_ffc_impact_report_2015_16_web</w:t>
        </w:r>
      </w:hyperlink>
      <w:r w:rsidR="0019110C">
        <w:rPr>
          <w:sz w:val="24"/>
        </w:rPr>
        <w:t xml:space="preserve"> </w:t>
      </w:r>
    </w:p>
    <w:p w:rsidR="00CA0C58" w:rsidRPr="00CA0C58" w:rsidRDefault="00CA0C58" w:rsidP="004A1A9C">
      <w:pPr>
        <w:pStyle w:val="NoSpacing"/>
        <w:rPr>
          <w:b/>
          <w:sz w:val="32"/>
        </w:rPr>
      </w:pPr>
    </w:p>
    <w:p w:rsidR="00CA0C58" w:rsidRPr="00F47FC8" w:rsidRDefault="00CA0C58" w:rsidP="004A1A9C">
      <w:pPr>
        <w:pStyle w:val="NoSpacing"/>
        <w:rPr>
          <w:b/>
          <w:sz w:val="32"/>
        </w:rPr>
      </w:pPr>
      <w:r w:rsidRPr="00CA0C58">
        <w:rPr>
          <w:b/>
          <w:sz w:val="32"/>
        </w:rPr>
        <w:lastRenderedPageBreak/>
        <w:t>Opportunities</w:t>
      </w:r>
    </w:p>
    <w:p w:rsidR="005A73D1" w:rsidRPr="0007785F" w:rsidRDefault="00F47FC8" w:rsidP="004A1A9C">
      <w:pPr>
        <w:pStyle w:val="NoSpacing"/>
        <w:rPr>
          <w:sz w:val="24"/>
        </w:rPr>
      </w:pPr>
      <w:r w:rsidRPr="0007785F">
        <w:rPr>
          <w:sz w:val="24"/>
        </w:rPr>
        <w:t xml:space="preserve">There are a number of opportunities available to advertisers and sponsors in </w:t>
      </w:r>
      <w:bookmarkStart w:id="0" w:name="_GoBack"/>
      <w:r w:rsidRPr="0019110C">
        <w:rPr>
          <w:i/>
          <w:sz w:val="24"/>
        </w:rPr>
        <w:t>Shout</w:t>
      </w:r>
      <w:r w:rsidR="0019110C" w:rsidRPr="0019110C">
        <w:rPr>
          <w:i/>
          <w:sz w:val="24"/>
        </w:rPr>
        <w:t>!</w:t>
      </w:r>
      <w:r w:rsidRPr="0007785F">
        <w:rPr>
          <w:sz w:val="24"/>
        </w:rPr>
        <w:t xml:space="preserve"> </w:t>
      </w:r>
      <w:bookmarkEnd w:id="0"/>
      <w:r w:rsidRPr="0007785F">
        <w:rPr>
          <w:sz w:val="24"/>
        </w:rPr>
        <w:t>magazine, at rates well below those of other titles in the sector.</w:t>
      </w:r>
    </w:p>
    <w:p w:rsidR="00591601" w:rsidRDefault="00591601" w:rsidP="004A1A9C">
      <w:pPr>
        <w:pStyle w:val="NoSpacing"/>
        <w:rPr>
          <w:sz w:val="24"/>
        </w:rPr>
      </w:pPr>
    </w:p>
    <w:p w:rsidR="00591601" w:rsidRPr="0007785F" w:rsidRDefault="00591601" w:rsidP="004A1A9C">
      <w:pPr>
        <w:pStyle w:val="NoSpacing"/>
        <w:rPr>
          <w:sz w:val="24"/>
        </w:rPr>
      </w:pPr>
    </w:p>
    <w:p w:rsidR="00F47FC8" w:rsidRPr="0007785F" w:rsidRDefault="00F47FC8" w:rsidP="004A1A9C">
      <w:pPr>
        <w:pStyle w:val="NoSpacing"/>
        <w:rPr>
          <w:b/>
          <w:sz w:val="24"/>
        </w:rPr>
      </w:pPr>
      <w:r w:rsidRPr="0007785F">
        <w:rPr>
          <w:b/>
          <w:sz w:val="24"/>
        </w:rPr>
        <w:t>Advertising rate card</w:t>
      </w:r>
    </w:p>
    <w:p w:rsidR="005A73D1" w:rsidRPr="0007785F" w:rsidRDefault="005A73D1" w:rsidP="005A73D1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038"/>
        <w:gridCol w:w="1305"/>
        <w:gridCol w:w="1307"/>
        <w:gridCol w:w="1308"/>
        <w:gridCol w:w="1308"/>
      </w:tblGrid>
      <w:tr w:rsidR="005A73D1" w:rsidRPr="0007785F" w:rsidTr="00D10C5B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Commitment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0.5 page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1p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Back cover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Inside back cover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Inside front cover</w:t>
            </w:r>
          </w:p>
        </w:tc>
      </w:tr>
      <w:tr w:rsidR="005A73D1" w:rsidRPr="0007785F" w:rsidTr="00D10C5B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 xml:space="preserve">1 issue 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1500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2000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1750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F47FC8" w:rsidP="005A73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BOOKED</w:t>
            </w:r>
          </w:p>
        </w:tc>
      </w:tr>
      <w:tr w:rsidR="005A73D1" w:rsidRPr="0007785F" w:rsidTr="00D10C5B">
        <w:trPr>
          <w:trHeight w:val="13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2 issues (-10%)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1440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2700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3600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5A73D1" w:rsidP="005A73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3150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D1" w:rsidRPr="0007785F" w:rsidRDefault="00F47FC8" w:rsidP="005A73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BOOKED</w:t>
            </w:r>
          </w:p>
        </w:tc>
      </w:tr>
    </w:tbl>
    <w:p w:rsidR="00EE1567" w:rsidRPr="0007785F" w:rsidRDefault="00EE1567" w:rsidP="004A1A9C">
      <w:pPr>
        <w:pStyle w:val="NoSpacing"/>
        <w:rPr>
          <w:b/>
          <w:sz w:val="24"/>
          <w:szCs w:val="24"/>
        </w:rPr>
      </w:pPr>
    </w:p>
    <w:p w:rsidR="00EE1567" w:rsidRPr="0007785F" w:rsidRDefault="00EE1567" w:rsidP="004A1A9C">
      <w:pPr>
        <w:pStyle w:val="NoSpacing"/>
        <w:rPr>
          <w:b/>
          <w:sz w:val="24"/>
          <w:szCs w:val="24"/>
        </w:rPr>
      </w:pPr>
      <w:r w:rsidRPr="0007785F">
        <w:rPr>
          <w:b/>
          <w:sz w:val="24"/>
          <w:szCs w:val="24"/>
        </w:rPr>
        <w:t>Section sponsorship</w:t>
      </w:r>
    </w:p>
    <w:p w:rsidR="00F47FC8" w:rsidRPr="0007785F" w:rsidRDefault="00F47FC8" w:rsidP="004A1A9C">
      <w:pPr>
        <w:pStyle w:val="NoSpacing"/>
        <w:rPr>
          <w:sz w:val="24"/>
          <w:szCs w:val="24"/>
        </w:rPr>
      </w:pPr>
    </w:p>
    <w:p w:rsidR="00F47FC8" w:rsidRPr="0007785F" w:rsidRDefault="00F47FC8" w:rsidP="004A1A9C">
      <w:pPr>
        <w:pStyle w:val="NoSpacing"/>
        <w:rPr>
          <w:sz w:val="24"/>
          <w:szCs w:val="24"/>
        </w:rPr>
      </w:pPr>
      <w:r w:rsidRPr="0007785F">
        <w:rPr>
          <w:sz w:val="24"/>
          <w:szCs w:val="24"/>
        </w:rPr>
        <w:t>The following sections of Shout magazine are available for sponsorship</w:t>
      </w:r>
    </w:p>
    <w:p w:rsidR="00F47FC8" w:rsidRPr="0007785F" w:rsidRDefault="00F47FC8" w:rsidP="004A1A9C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51"/>
        <w:gridCol w:w="2586"/>
        <w:gridCol w:w="1975"/>
        <w:gridCol w:w="1879"/>
      </w:tblGrid>
      <w:tr w:rsidR="0007785F" w:rsidRPr="0007785F" w:rsidTr="00591601">
        <w:trPr>
          <w:trHeight w:val="281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Section </w:t>
            </w:r>
          </w:p>
        </w:tc>
        <w:tc>
          <w:tcPr>
            <w:tcW w:w="851" w:type="dxa"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No. of pages</w:t>
            </w:r>
          </w:p>
        </w:tc>
        <w:tc>
          <w:tcPr>
            <w:tcW w:w="2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Subject matter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Sponsorship opportunity</w:t>
            </w: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Per issue cost</w:t>
            </w:r>
          </w:p>
        </w:tc>
      </w:tr>
      <w:tr w:rsidR="0007785F" w:rsidRPr="0007785F" w:rsidTr="00591601">
        <w:trPr>
          <w:trHeight w:val="150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@FFC</w:t>
            </w:r>
          </w:p>
        </w:tc>
        <w:tc>
          <w:tcPr>
            <w:tcW w:w="851" w:type="dxa"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 xml:space="preserve">Social media updates </w:t>
            </w:r>
            <w:proofErr w:type="spellStart"/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fron</w:t>
            </w:r>
            <w:proofErr w:type="spellEnd"/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 xml:space="preserve"> Twitter and Facebook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Logo placement and ‘sponsored by’ recognition</w:t>
            </w: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£500</w:t>
            </w:r>
          </w:p>
        </w:tc>
      </w:tr>
      <w:tr w:rsidR="0007785F" w:rsidRPr="0007785F" w:rsidTr="00591601">
        <w:trPr>
          <w:trHeight w:val="144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Firefighting Fit</w:t>
            </w:r>
          </w:p>
        </w:tc>
        <w:tc>
          <w:tcPr>
            <w:tcW w:w="851" w:type="dxa"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 xml:space="preserve">Health and wellbeing. Columns from exercise therapists, psychological therapists, nutrition experts etc. offering advice and guidance on physical and </w:t>
            </w:r>
            <w:proofErr w:type="gramStart"/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mental  wellbeing</w:t>
            </w:r>
            <w:proofErr w:type="gramEnd"/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5F" w:rsidRPr="0007785F" w:rsidRDefault="0007785F" w:rsidP="000778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 xml:space="preserve">Logo placement on all pages. ‘Sponsored by recognition on all pages.’ </w:t>
            </w:r>
          </w:p>
          <w:p w:rsidR="0007785F" w:rsidRPr="0007785F" w:rsidRDefault="0007785F" w:rsidP="000778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07785F" w:rsidRPr="0007785F" w:rsidRDefault="0007785F" w:rsidP="000778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Single page advertorial.</w:t>
            </w: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£1500</w:t>
            </w:r>
          </w:p>
        </w:tc>
      </w:tr>
      <w:tr w:rsidR="0007785F" w:rsidRPr="0007785F" w:rsidTr="00591601">
        <w:trPr>
          <w:trHeight w:val="144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 xml:space="preserve">Shout+ </w:t>
            </w:r>
          </w:p>
        </w:tc>
        <w:tc>
          <w:tcPr>
            <w:tcW w:w="851" w:type="dxa"/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Focus on the retired fire and rescue community. Offering  information and insight to retired readers, helping them to keep in touch with past colleagues etc.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5F" w:rsidRPr="0007785F" w:rsidRDefault="0007785F" w:rsidP="000778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 xml:space="preserve">Logo placement on all pages. ‘Sponsored by recognition on all pages.’ </w:t>
            </w:r>
          </w:p>
          <w:p w:rsidR="0007785F" w:rsidRPr="0007785F" w:rsidRDefault="0007785F" w:rsidP="000778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07785F" w:rsidRPr="0007785F" w:rsidRDefault="0007785F" w:rsidP="000778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Single page advertorial.</w:t>
            </w: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5F" w:rsidRPr="0007785F" w:rsidRDefault="0007785F" w:rsidP="009B3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7785F">
              <w:rPr>
                <w:rFonts w:ascii="Calibri" w:eastAsia="Times New Roman" w:hAnsi="Calibri" w:cs="Times New Roman"/>
                <w:sz w:val="24"/>
                <w:szCs w:val="24"/>
              </w:rPr>
              <w:t>£1250</w:t>
            </w:r>
          </w:p>
        </w:tc>
      </w:tr>
    </w:tbl>
    <w:p w:rsidR="00F47FC8" w:rsidRDefault="00F47FC8" w:rsidP="004A1A9C">
      <w:pPr>
        <w:pStyle w:val="NoSpacing"/>
        <w:rPr>
          <w:sz w:val="24"/>
          <w:szCs w:val="24"/>
        </w:rPr>
      </w:pPr>
    </w:p>
    <w:p w:rsidR="00591601" w:rsidRPr="00591601" w:rsidRDefault="00591601" w:rsidP="004A1A9C">
      <w:pPr>
        <w:pStyle w:val="NoSpacing"/>
        <w:rPr>
          <w:b/>
          <w:sz w:val="28"/>
          <w:szCs w:val="24"/>
        </w:rPr>
      </w:pPr>
      <w:r w:rsidRPr="00591601">
        <w:rPr>
          <w:b/>
          <w:sz w:val="28"/>
          <w:szCs w:val="24"/>
        </w:rPr>
        <w:t>For more information</w:t>
      </w:r>
    </w:p>
    <w:p w:rsidR="00591601" w:rsidRDefault="00591601" w:rsidP="004A1A9C">
      <w:pPr>
        <w:pStyle w:val="NoSpacing"/>
        <w:rPr>
          <w:sz w:val="24"/>
          <w:szCs w:val="24"/>
        </w:rPr>
      </w:pPr>
    </w:p>
    <w:p w:rsidR="00591601" w:rsidRDefault="00591601" w:rsidP="004A1A9C">
      <w:pPr>
        <w:pStyle w:val="NoSpacing"/>
        <w:rPr>
          <w:sz w:val="24"/>
          <w:szCs w:val="24"/>
        </w:rPr>
      </w:pPr>
      <w:r w:rsidRPr="00591601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hyperlink r:id="rId9" w:history="1">
        <w:r w:rsidRPr="00F34CF6">
          <w:rPr>
            <w:rStyle w:val="Hyperlink"/>
            <w:sz w:val="24"/>
            <w:szCs w:val="24"/>
          </w:rPr>
          <w:t>Shout@firefighterscharity.org.uk</w:t>
        </w:r>
      </w:hyperlink>
    </w:p>
    <w:p w:rsidR="00591601" w:rsidRPr="0007785F" w:rsidRDefault="00591601" w:rsidP="004A1A9C">
      <w:pPr>
        <w:pStyle w:val="NoSpacing"/>
        <w:rPr>
          <w:sz w:val="24"/>
          <w:szCs w:val="24"/>
        </w:rPr>
      </w:pPr>
      <w:r w:rsidRPr="00591601">
        <w:rPr>
          <w:b/>
          <w:sz w:val="24"/>
          <w:szCs w:val="24"/>
        </w:rPr>
        <w:t>Telephone:</w:t>
      </w:r>
      <w:r>
        <w:rPr>
          <w:sz w:val="24"/>
          <w:szCs w:val="24"/>
        </w:rPr>
        <w:t xml:space="preserve"> 01256 366591</w:t>
      </w:r>
    </w:p>
    <w:sectPr w:rsidR="00591601" w:rsidRPr="0007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DB"/>
    <w:rsid w:val="0007785F"/>
    <w:rsid w:val="0019110C"/>
    <w:rsid w:val="00203697"/>
    <w:rsid w:val="003B6705"/>
    <w:rsid w:val="003B7701"/>
    <w:rsid w:val="004A1A9C"/>
    <w:rsid w:val="00591601"/>
    <w:rsid w:val="005A73D1"/>
    <w:rsid w:val="005B7C1D"/>
    <w:rsid w:val="00631DA0"/>
    <w:rsid w:val="0070351D"/>
    <w:rsid w:val="008C4837"/>
    <w:rsid w:val="00BB0E2E"/>
    <w:rsid w:val="00CA0C58"/>
    <w:rsid w:val="00CA2D94"/>
    <w:rsid w:val="00D11B07"/>
    <w:rsid w:val="00EE1567"/>
    <w:rsid w:val="00EF3DDB"/>
    <w:rsid w:val="00F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D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A1A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0C5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7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D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A1A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0C5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thefirefighterscharity/docs/1854_ffc_impact_report_2015_16_we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ut@firefighterschar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Beynon</dc:creator>
  <cp:lastModifiedBy>Tim Beynon</cp:lastModifiedBy>
  <cp:revision>2</cp:revision>
  <cp:lastPrinted>2015-11-26T10:05:00Z</cp:lastPrinted>
  <dcterms:created xsi:type="dcterms:W3CDTF">2016-11-29T10:14:00Z</dcterms:created>
  <dcterms:modified xsi:type="dcterms:W3CDTF">2016-11-29T10:14:00Z</dcterms:modified>
</cp:coreProperties>
</file>